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7852"/>
        <w:gridCol w:w="1177"/>
      </w:tblGrid>
      <w:tr>
        <w:tc>
          <w:tcPr>
            <w:tcW w:w="7852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32"/>
                <w:szCs w:val="32"/>
              </w:rPr>
              <w:t xml:space="preserve">　　　　</w:t>
            </w:r>
            <w:r>
              <w:rPr>
                <w:rFonts w:ascii="Arial" w:hAnsi="Arial" w:cs="Arial" w:eastAsia="Arial"/>
                <w:color w:val="000000"/>
                <w:sz w:val="32"/>
                <w:szCs w:val="32"/>
              </w:rPr>
              <w:t>請負契約書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77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747395" cy="747395"/>
                  <wp:docPr id="0" name="Drawing 0" descr="18f2fd036-0237-461b-88f1-4e2d0bcfbec8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18f2fd036-0237-461b-88f1-4e2d0bcfbec8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　　　　　　　　　　　　  （以下「甲」という）と、  　　　　　　　　　　　  （以下「乙」という）は、甲が乙に委託する業務に関し、以下のとおり請負契約（以下「本契約」という）を締結する。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【頭書（契約要項）】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委託業務の名称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  　　　　　　　　　　　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委託業務の内容・仕様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本業務の仕様および成果物の要件は、以下のとおりとする。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-----------------------------------------------------------------------------------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(1) 成果物：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(2) 仕様・形式：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(3) 動作環境：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(4) 支給素材：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(5) その他：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-----------------------------------------------------------------------------------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3. 契約期間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20　年　月　日 から 20　年　月　日 まで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4. 納入期限（納期）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20　年　月　日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5. 納入場所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　　　　　　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6. 請負代金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金 　　　　　　　　　　 円（消費税および地方消費税別途）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7. 支払条件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検収完了月の翌月末日限り、乙の指定する銀行口座へ振り込む方法により支払う。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振込手数料は   　　　　   の負担とする。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8. 契約不適合責任の期間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   引渡し完了日より   　   年間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本契約の成立を証するため、本書2通を作成し、甲乙記名押印の上、各1通を保有する。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>20　年　月　日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（甲）住所：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　　社名：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　　代表者：  　　　　　　　　　　　　　　　  　印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（乙）住所：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　　社名：  　　　　　　　　　　　　　　　　　　　　　　　  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end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　　　代表者：  　　　　　　　　　　　　　　　  　印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/>
      </w:pPr>
      <w:r>
        <w:br w:type="page"/>
      </w:r>
    </w:p>
    <w:p>
      <w:pPr>
        <w:spacing w:after="120" w:before="120" w:line="36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both"/>
      </w:pPr>
      <w:r>
        <w:rPr>
          <w:rFonts w:ascii="Arial" w:hAnsi="Arial" w:cs="Arial" w:eastAsia="Arial"/>
          <w:color w:val="000000"/>
          <w:sz w:val="22"/>
          <w:szCs w:val="22"/>
        </w:rPr>
        <w:t>【請負契約約款】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第1条（総則）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甲および乙は、信義誠実の原則に従い、本契約および頭書記載事項（以下「頭書」という）を履行するものとする。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第2条（業務の完成と引渡し）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乙は、頭書および仕様に基づき、納期までに成果物を完成させ、甲に納入するものとする。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成果物の納入は、物理的な引渡しまたは電磁的方法（電子メールの送信、サーバーへのアップロード等）により行うものとする。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第3条（再委託の制限）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乙は、甲の事前の書面による承諾を得ることなく、本業務の全部または一部を第三者に再委託してはならない。なお、承諾を得て再委託を行う場合であっても、乙は当該第三者の行為について一切の責任を負うもの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第4条（検査・検収）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甲は、成果物の納入後   　   営業日以内（以下「検査期間」という）に、仕様との適合性を検査する。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検査の結果、合格と認められた場合は、甲は乙に対し検収書（または検収完了通知）を交付し、これをもって業務の完了とする。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3. 甲が検査期間内に書面による異議を申し出ない場合、検査期間の満了をもって成果物は検査に合格したものとみなす。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第5条（所有権および知的財産権の移転）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成果物の所有権は、請負代金の完済をもって乙から甲に移転する。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成果物に関する著作権（著作権法第27条および第28条の権利を含む）は、  　　　　　　　   と同時に乙から甲に移転するものとする。ただし、本契約締結前より乙が保有していた権利や、汎用的なプログラム・モジュール等の権利は乙に留保される。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第6条（危険負担）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成果物の引渡し前に生じた滅失・毀損等は、甲の責めに帰すべき事由を除き乙が負担し、引渡し後に生じたものは、乙の責めに帰すべき事由を除き甲が負担する。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第7条（契約不適合責任）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成果物に契約内容と適合しない点（以下「不適合」という）があった場合、頭書記載の期間内に限り、甲は乙に対して修補、代替物の引渡し、または代金の減額を請求することができる。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ただし、不適合が甲の指示または提供資料に起因する場合は、乙はその責任を負わない。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第8条（秘密保持）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甲および乙は、本契約の遂行により知り得た相手方の秘密情報を、第三者に開示または漏洩してはならず、本契約の目的以外に使用してはならない。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第9条（契約の解除）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相手方が以下のいずれかに該当した場合、何らの催告を要せず本契約を解除することができる。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(1) 本契約に違反し、相当期間を定めた催告に応じないとき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(2) 差押、仮差押、仮処分、破産、民事再生、会社更生の手続開始の申立てがあったとき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(3) 公租公課の滞納処分を受けたとき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(4) 監督官庁より営業停止または営業免許取消しの処分を受けたとき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第10条（反社会的勢力の排除）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1. 甲および乙は、自ら、その役員または実質的に経営権を有する者が、暴力団、暴力団員、暴力団関係企業、総会屋、その他これらに準ずる者（以下「反社会的勢力」という）に該当しないことを表明し、かつ将来にわたっても該当しないことを確約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2. 相手方が前項に違反したことが判明した場合、何らの催告を要せず本契約を解除することができる。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第11条（損害賠償）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甲および乙は、本契約の違反により相手方に損害を与えた場合、その損害を賠償しなければならない。ただし、賠償額の上限は、法令に別段の定めがある場合や故意・重過失の場合を除き、頭書記載の請負代金相当額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第12条（合意管轄）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本契約に関する紛争については、  　　　   地方裁判所を第一審の専属的合意管轄裁判所とする。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以上</w:t>
      </w:r>
      <w:r>
        <w:rPr>
          <w:rFonts w:ascii="Arial" w:hAnsi="Arial" w:cs="Arial" w:eastAsia="Arial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Arial">
    <w:panose1 w:val="020B0604020202020204"/>
    <w:charset w:characterSet="1"/>
  </w:font>
  <w:font w:name="Source Han Sans JP">
    <w:panose1 w:val="020B0400000000000000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2026-01-27T08:10:10Z</dcterms:created>
  <dc:creator>Apache POI</dc:creator>
</cp:coreProperties>
</file>